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8910A87" w:rsidR="00D309CC" w:rsidRDefault="00D309CC" w:rsidP="00D46431">
      <w:pPr>
        <w:pStyle w:val="CH"/>
      </w:pPr>
      <w:bookmarkStart w:id="0" w:name="historyclause"/>
      <w:r w:rsidRPr="005E12B4">
        <w:t>3GPP RAN</w:t>
      </w:r>
      <w:r w:rsidR="00CF20E3" w:rsidRPr="005E12B4">
        <w:t xml:space="preserve"> TSG</w:t>
      </w:r>
      <w:r w:rsidRPr="005E12B4">
        <w:t xml:space="preserve"> Meeting #</w:t>
      </w:r>
      <w:r w:rsidR="00C06639" w:rsidRPr="005E12B4">
        <w:t>88e</w:t>
      </w:r>
      <w:r>
        <w:tab/>
      </w:r>
      <w:r w:rsidR="00D46431">
        <w:tab/>
      </w:r>
      <w:r w:rsidR="005E12B4" w:rsidRPr="005E12B4">
        <w:t>RP-20110</w:t>
      </w:r>
      <w:r w:rsidR="002F1337">
        <w:t>6</w:t>
      </w:r>
    </w:p>
    <w:p w14:paraId="50DC9730" w14:textId="3EE6C439" w:rsidR="00D309CC" w:rsidRPr="00FD166F" w:rsidRDefault="005E12B4" w:rsidP="00D46431">
      <w:pPr>
        <w:pStyle w:val="CH"/>
        <w:tabs>
          <w:tab w:val="clear" w:pos="7920"/>
        </w:tabs>
        <w:rPr>
          <w:b w:val="0"/>
        </w:rPr>
      </w:pPr>
      <w:r w:rsidRPr="005E12B4">
        <w:t>Electronic meeting, June 29 - July 3, 2020</w:t>
      </w:r>
      <w:r w:rsidR="00D46431">
        <w:tab/>
      </w:r>
    </w:p>
    <w:p w14:paraId="39A0EE25" w14:textId="77777777" w:rsidR="00D309CC" w:rsidRDefault="00D309CC" w:rsidP="00D309CC">
      <w:pPr>
        <w:tabs>
          <w:tab w:val="left" w:pos="2160"/>
        </w:tabs>
        <w:rPr>
          <w:rFonts w:ascii="Arial" w:hAnsi="Arial" w:cs="Arial"/>
          <w:b/>
        </w:rPr>
      </w:pPr>
    </w:p>
    <w:p w14:paraId="6DDCE159" w14:textId="1F2CC1AD" w:rsidR="00D309CC" w:rsidRPr="0008103A" w:rsidRDefault="00D309CC" w:rsidP="00D309CC">
      <w:pPr>
        <w:pStyle w:val="CH"/>
        <w:rPr>
          <w:b w:val="0"/>
        </w:rPr>
      </w:pPr>
      <w:r w:rsidRPr="0008103A">
        <w:t>Agenda item:</w:t>
      </w:r>
      <w:r>
        <w:tab/>
      </w:r>
      <w:r w:rsidR="005E12B4" w:rsidRPr="005E12B4">
        <w:t>9.</w:t>
      </w:r>
      <w:r w:rsidR="002F1337">
        <w:t>4</w:t>
      </w:r>
      <w:r w:rsidR="005E12B4" w:rsidRPr="005E12B4">
        <w:t>.</w:t>
      </w:r>
      <w:r w:rsidR="002F1337">
        <w:t>7</w:t>
      </w:r>
    </w:p>
    <w:p w14:paraId="4DBE005A" w14:textId="6E919EBA" w:rsidR="00D309CC" w:rsidRPr="0008103A" w:rsidRDefault="00D309CC" w:rsidP="00D309CC">
      <w:pPr>
        <w:pStyle w:val="CH"/>
        <w:rPr>
          <w:b w:val="0"/>
        </w:rPr>
      </w:pPr>
      <w:r>
        <w:t>Source:</w:t>
      </w:r>
      <w:r>
        <w:tab/>
      </w:r>
      <w:r w:rsidR="002F1337" w:rsidRPr="002F1337">
        <w:t>Apple Inc., Comcast</w:t>
      </w:r>
    </w:p>
    <w:p w14:paraId="0D2061A1" w14:textId="21F3AB5C" w:rsidR="00D309CC" w:rsidRDefault="00D309CC" w:rsidP="002F1337">
      <w:pPr>
        <w:pStyle w:val="CH"/>
        <w:ind w:left="2260" w:hanging="2260"/>
      </w:pPr>
      <w:r w:rsidRPr="0008103A">
        <w:t>Title:</w:t>
      </w:r>
      <w:r w:rsidRPr="0008103A">
        <w:tab/>
      </w:r>
      <w:r w:rsidR="002F1337" w:rsidRPr="002F1337">
        <w:t>Motivation for revising WID on LTE/NR spectrum sharing in band 48/n48 frequency range</w:t>
      </w:r>
    </w:p>
    <w:p w14:paraId="052B1E0C" w14:textId="4040EE2A" w:rsidR="00104BC6" w:rsidRDefault="00104BC6" w:rsidP="00D309CC">
      <w:pPr>
        <w:pStyle w:val="CH"/>
      </w:pPr>
      <w:r>
        <w:t>WI:</w:t>
      </w:r>
      <w:r>
        <w:tab/>
      </w:r>
      <w:r w:rsidR="002F1337" w:rsidRPr="002F1337">
        <w:t>NR_n48_LTE_48_coex-Core</w:t>
      </w:r>
    </w:p>
    <w:p w14:paraId="6C6D1281" w14:textId="0A6D6F79" w:rsidR="00104BC6" w:rsidRDefault="00104BC6" w:rsidP="00D309CC">
      <w:pPr>
        <w:pStyle w:val="CH"/>
        <w:rPr>
          <w:b w:val="0"/>
        </w:rPr>
      </w:pPr>
      <w:r>
        <w:t>Release:</w:t>
      </w:r>
      <w:r>
        <w:tab/>
      </w:r>
      <w:r w:rsidRPr="005E12B4">
        <w:t>Rel-</w:t>
      </w:r>
      <w:r w:rsidR="005E12B4" w:rsidRPr="005E12B4">
        <w:t>16</w:t>
      </w:r>
    </w:p>
    <w:p w14:paraId="2E4E044D" w14:textId="7A4C8F2D" w:rsidR="00D309CC" w:rsidRDefault="00D309CC" w:rsidP="00D309CC">
      <w:pPr>
        <w:pStyle w:val="CH"/>
      </w:pPr>
      <w:r>
        <w:t>Document for:</w:t>
      </w:r>
      <w:r>
        <w:tab/>
      </w:r>
      <w:r w:rsidR="002F1337">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2781B74" w14:textId="77A7E9C0" w:rsidR="001944CA" w:rsidRDefault="00CE5A62" w:rsidP="008E7986">
      <w:r>
        <w:t>Dynamic spectrum sharing is an important feature that allows for sharing existing spectrum between the LTE and NR carriers, thus enabling smoother transition from LTE and faster adoption of NR.</w:t>
      </w:r>
      <w:r>
        <w:t xml:space="preserve"> </w:t>
      </w:r>
      <w:r>
        <w:t xml:space="preserve">After the RAN#86 meeting, a new WI was agreed </w:t>
      </w:r>
      <w:r w:rsidR="007E22A3">
        <w:fldChar w:fldCharType="begin"/>
      </w:r>
      <w:r w:rsidR="007E22A3">
        <w:instrText xml:space="preserve"> REF _Ref43745814 \r \h </w:instrText>
      </w:r>
      <w:r w:rsidR="007E22A3">
        <w:fldChar w:fldCharType="separate"/>
      </w:r>
      <w:r w:rsidR="007E22A3">
        <w:t>[1]</w:t>
      </w:r>
      <w:r w:rsidR="007E22A3">
        <w:fldChar w:fldCharType="end"/>
      </w:r>
      <w:r>
        <w:t xml:space="preserve"> aiming to analyse and introduce, if needed, changes to support dynamic spectrum sharing in band 48/n48 frequency range</w:t>
      </w:r>
      <w:r>
        <w:t>, which is also known as the CBRS band</w:t>
      </w:r>
      <w:r>
        <w:t xml:space="preserve">. </w:t>
      </w:r>
      <w:r>
        <w:t xml:space="preserve">At the time when the WI was agreed, the CBRS Alliance considered only 30kHz SCS as the main deployment option: 15kHz SCS was not precluded, but the specifications stated that base stations shall support 30kHz SCS. It was noticed later that having only 30kHz SCS for NR creates a number of challenges. </w:t>
      </w:r>
      <w:r w:rsidR="007E22A3">
        <w:t>Furthermore,</w:t>
      </w:r>
      <w:r>
        <w:t xml:space="preserve"> 30kHz SCS sometimes even </w:t>
      </w:r>
      <w:r w:rsidR="007E22A3">
        <w:t>does</w:t>
      </w:r>
      <w:r>
        <w:t xml:space="preserve"> not work </w:t>
      </w:r>
      <w:r>
        <w:t>due to the dynamic nature of the spectrum on the CBRS band</w:t>
      </w:r>
      <w:r>
        <w:t xml:space="preserve">, especially when the allocated channel is rather small. In response to that, </w:t>
      </w:r>
      <w:r w:rsidR="007E22A3">
        <w:t xml:space="preserve">the </w:t>
      </w:r>
      <w:r>
        <w:t>CBRS Alliance has decided to also add 15kHz SCS as one of the mandatory deployment options.</w:t>
      </w:r>
      <w:r w:rsidR="003E7753">
        <w:t xml:space="preserve"> </w:t>
      </w:r>
    </w:p>
    <w:p w14:paraId="06E92CC7" w14:textId="60BE31FE" w:rsidR="008E7986" w:rsidRDefault="00CE5A62" w:rsidP="008E7986">
      <w:r>
        <w:t>In this discussion paper we elaborate further on deployment limitations of the DSS feature if only 30kHz SCS is considered and suggest revising existing WI accordingly to align it with the latest CBRS Alliance agreements</w:t>
      </w:r>
      <w:r w:rsidR="001944CA">
        <w:t xml:space="preserve">. </w:t>
      </w:r>
      <w:r w:rsidR="008E7986">
        <w:t xml:space="preserve"> </w:t>
      </w:r>
    </w:p>
    <w:p w14:paraId="7228DA19" w14:textId="2C85E86A" w:rsidR="00E72324" w:rsidRDefault="008E7986" w:rsidP="00C43103">
      <w:pPr>
        <w:pStyle w:val="Heading1"/>
      </w:pPr>
      <w:r>
        <w:t>2</w:t>
      </w:r>
      <w:r>
        <w:tab/>
      </w:r>
      <w:r w:rsidR="000C722D">
        <w:t>DSS for the CBRS band</w:t>
      </w:r>
      <w:r>
        <w:t xml:space="preserve"> </w:t>
      </w:r>
      <w:r w:rsidR="00E72324" w:rsidRPr="00E72324">
        <w:t xml:space="preserve"> </w:t>
      </w:r>
    </w:p>
    <w:p w14:paraId="6EB2DEBF" w14:textId="18343CC7" w:rsidR="000C722D" w:rsidRDefault="000C722D" w:rsidP="000C722D">
      <w:r>
        <w:t>I</w:t>
      </w:r>
      <w:r>
        <w:t xml:space="preserve">t is worth noting that unlike other licensed bands where an operator </w:t>
      </w:r>
      <w:r w:rsidR="007E22A3">
        <w:t>obtains</w:t>
      </w:r>
      <w:r>
        <w:t xml:space="preserve"> fixed chunk of spectrum, band 48/n48 spectrum is managed by so-called SAS entity. It allocates spectrum to operators accounting for their requests, total number of operators working in a certain geographical area, and also other SAS entities. In other words, an operator </w:t>
      </w:r>
      <w:r>
        <w:t>neither</w:t>
      </w:r>
      <w:r>
        <w:t xml:space="preserve"> know</w:t>
      </w:r>
      <w:r>
        <w:t>s</w:t>
      </w:r>
      <w:r>
        <w:t xml:space="preserve"> in advance which spectrum will be allocated, its size and the centre frequency</w:t>
      </w:r>
      <w:r>
        <w:t>, nor should he anticipate that some minimum channel bandwidth will be allocated</w:t>
      </w:r>
      <w:r>
        <w:t xml:space="preserve">. </w:t>
      </w:r>
    </w:p>
    <w:p w14:paraId="404251C6" w14:textId="634B4AEF" w:rsidR="00130CEE" w:rsidRDefault="00130CEE" w:rsidP="00130CEE">
      <w:pPr>
        <w:pStyle w:val="Observation"/>
      </w:pPr>
      <w:r>
        <w:t>Observation 1:</w:t>
      </w:r>
      <w:r>
        <w:tab/>
      </w:r>
      <w:r w:rsidR="004E615D">
        <w:t>CBRS b</w:t>
      </w:r>
      <w:r>
        <w:t>and spectrum is managed by the SAS entity and thus an operator does not know which channel bandwidth will be allocated.</w:t>
      </w:r>
    </w:p>
    <w:p w14:paraId="0EAFD7B6" w14:textId="3CBD5705" w:rsidR="000C722D" w:rsidRDefault="000C722D" w:rsidP="000C722D"/>
    <w:p w14:paraId="0AF32215" w14:textId="77777777" w:rsidR="000C722D" w:rsidRDefault="000C722D" w:rsidP="000C722D">
      <w:r w:rsidRPr="00A800B4">
        <w:rPr>
          <w:sz w:val="24"/>
          <w:szCs w:val="24"/>
          <w:lang w:val="de-DE" w:eastAsia="en-GB"/>
        </w:rPr>
        <w:fldChar w:fldCharType="begin"/>
      </w:r>
      <w:r>
        <w:rPr>
          <w:sz w:val="24"/>
          <w:szCs w:val="24"/>
          <w:lang w:val="de-DE" w:eastAsia="en-GB"/>
        </w:rPr>
        <w:instrText xml:space="preserve"> INCLUDEPICTURE "C:\\var\\folders\\k6\\l4fnxg9x7m5_jrgqncytj4dr0000gn\\T\\com.microsoft.Word\\WebArchiveCopyPasteTempFiles\\3_5bandplan.png" \* MERGEFORMAT </w:instrText>
      </w:r>
      <w:r w:rsidRPr="00A800B4">
        <w:rPr>
          <w:sz w:val="24"/>
          <w:szCs w:val="24"/>
          <w:lang w:val="de-DE" w:eastAsia="en-GB"/>
        </w:rPr>
        <w:fldChar w:fldCharType="separate"/>
      </w:r>
      <w:r w:rsidRPr="00A800B4">
        <w:rPr>
          <w:noProof/>
          <w:sz w:val="24"/>
          <w:szCs w:val="24"/>
          <w:lang w:val="de-DE" w:eastAsia="en-GB"/>
        </w:rPr>
        <w:drawing>
          <wp:inline distT="0" distB="0" distL="0" distR="0" wp14:anchorId="418FE0C4" wp14:editId="47AE96B8">
            <wp:extent cx="6122035" cy="2230120"/>
            <wp:effectExtent l="0" t="0" r="0" b="5080"/>
            <wp:docPr id="3" name="Picture 3"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5 Band Pl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230120"/>
                    </a:xfrm>
                    <a:prstGeom prst="rect">
                      <a:avLst/>
                    </a:prstGeom>
                    <a:noFill/>
                    <a:ln>
                      <a:noFill/>
                    </a:ln>
                  </pic:spPr>
                </pic:pic>
              </a:graphicData>
            </a:graphic>
          </wp:inline>
        </w:drawing>
      </w:r>
      <w:r w:rsidRPr="00A800B4">
        <w:rPr>
          <w:sz w:val="24"/>
          <w:szCs w:val="24"/>
          <w:lang w:val="de-DE" w:eastAsia="en-GB"/>
        </w:rPr>
        <w:fldChar w:fldCharType="end"/>
      </w:r>
    </w:p>
    <w:p w14:paraId="2C6F459D" w14:textId="3CF5F963" w:rsidR="000C722D" w:rsidRDefault="000C722D" w:rsidP="000C722D">
      <w:pPr>
        <w:pStyle w:val="TF"/>
      </w:pPr>
      <w:r>
        <w:t xml:space="preserve">Figure 2-1: Overview of the CBRS band (3GPP band </w:t>
      </w:r>
      <w:r>
        <w:rPr>
          <w:lang w:val="en-US"/>
        </w:rPr>
        <w:t>48/</w:t>
      </w:r>
      <w:r>
        <w:t>n48).</w:t>
      </w:r>
    </w:p>
    <w:p w14:paraId="5D318F9B" w14:textId="77777777" w:rsidR="007E22A3" w:rsidRDefault="000C722D" w:rsidP="000C722D">
      <w:r>
        <w:lastRenderedPageBreak/>
        <w:t xml:space="preserve">Figure 2-1 illustrates that the CBRS band 3550-3650 MHz frequency range is logically partitioned into ten 10MHz channels to ease spectrum allocation and management process by the SAS entity and also between the SAS entities. </w:t>
      </w:r>
      <w:r w:rsidR="00130CEE">
        <w:t>Even though</w:t>
      </w:r>
      <w:r>
        <w:t xml:space="preserve"> one can anticipate that an operator will receive at least 10MHz channel, in some extreme cases this allocation could be even smaller.</w:t>
      </w:r>
      <w:r w:rsidR="00130CEE">
        <w:t xml:space="preserve"> The problem however exacerbates </w:t>
      </w:r>
      <w:r w:rsidR="007E22A3">
        <w:t xml:space="preserve">further </w:t>
      </w:r>
      <w:r w:rsidR="00130CEE">
        <w:t>if an operator needs to run both LTE and NR technologies at the same time. For a case when the operator has e.g. 20MHz channel, it can be partitioned in a (semi-) static way as NR 10 + LTE 10 MHz or NR 15 + LTE 5 MHz; and this configuration will be feasible if NR base stations support only 30kHz SCS. However, if the operator is allocated 10MHz channel, then it is impossible to run efficiently both LTE and NR without considering 15kHz SCS for NR</w:t>
      </w:r>
      <w:r w:rsidR="007E22A3">
        <w:t>:</w:t>
      </w:r>
    </w:p>
    <w:p w14:paraId="373C3460" w14:textId="2C814823" w:rsidR="007E22A3" w:rsidRDefault="007E22A3" w:rsidP="007E22A3">
      <w:pPr>
        <w:pStyle w:val="B1"/>
      </w:pPr>
      <w:r>
        <w:t>-</w:t>
      </w:r>
      <w:r>
        <w:tab/>
        <w:t xml:space="preserve">As one potential solution, 10MHz channel can be shared between NR and LTE in a static way as 5+5MHz. However, according to TS 38.101-1 NR does not support 5MHz channel with 30kHz SCS in band n48 (refer to </w:t>
      </w:r>
      <w:r w:rsidRPr="007E22A3">
        <w:t>Table 5.3.5-1</w:t>
      </w:r>
      <w:r>
        <w:t xml:space="preserve"> in TS 38.101-1 indicating supported channel bandwidth in each NR band).</w:t>
      </w:r>
    </w:p>
    <w:p w14:paraId="1BDAA6E5" w14:textId="00CAF906" w:rsidR="000C722D" w:rsidRDefault="007E22A3" w:rsidP="007E22A3">
      <w:pPr>
        <w:pStyle w:val="B1"/>
      </w:pPr>
      <w:r>
        <w:t>-</w:t>
      </w:r>
      <w:r>
        <w:tab/>
        <w:t xml:space="preserve">Another potential solution would be to run dynamic spectrum sharing between LTE and NR in the whole 10MHz channel. However, this solution will work efficiently if NR is configured with 15kHz SCS to avoid inter-numerology guard bands and to enable rate matching around LTE CRS transmissions.   </w:t>
      </w:r>
      <w:r w:rsidR="00130CEE">
        <w:t xml:space="preserve"> </w:t>
      </w:r>
    </w:p>
    <w:p w14:paraId="5F0787CC" w14:textId="08DECB4B" w:rsidR="00A808D7" w:rsidRDefault="007E22A3" w:rsidP="00DD495F">
      <w:r>
        <w:t>As can be seen from the aforementioned explanations, enabling 15kHz SCS for NR deployments on the CBRS band will not only make them more flexible but will also facilitate DSS operation, which in turn will provide more flexible and dynamic resource partition between NR and LTE.</w:t>
      </w:r>
      <w:r w:rsidR="000C722D">
        <w:t xml:space="preserve">  </w:t>
      </w:r>
    </w:p>
    <w:p w14:paraId="6629BF4E" w14:textId="06016A6B" w:rsidR="004E615D" w:rsidRDefault="004E615D" w:rsidP="004E615D">
      <w:pPr>
        <w:pStyle w:val="Observation"/>
      </w:pPr>
      <w:r>
        <w:t>Observation 2:</w:t>
      </w:r>
      <w:r>
        <w:tab/>
        <w:t>Having 15kHz SCS on the CBRS band facilitates NR deployments with smaller channels and enable more efficient and dynamic resource utilisation between LTE and NR if an operator needs to run both systems.</w:t>
      </w:r>
    </w:p>
    <w:p w14:paraId="3545B1CD" w14:textId="7E60F1E2" w:rsidR="008E7986" w:rsidRDefault="001F64E7" w:rsidP="00130CEE">
      <w:pPr>
        <w:spacing w:after="0"/>
      </w:pPr>
      <w:r>
        <w:t>It should be noted that aligning WI description with the latest CBRS agreements to consider both 15 and 30kHz SCS does not change or increase the scope of existing discussions because all the ongoing discussions for the channel raster, UL shift, and sync pattern are being handled in the SCS agnostic way. It does not impact core RAN WG4 specifications either because 15kHz SCS is already supported for NR band n48.</w:t>
      </w:r>
    </w:p>
    <w:p w14:paraId="682C6AB4" w14:textId="0B06621F" w:rsidR="004E615D" w:rsidRDefault="004E615D" w:rsidP="00130CEE">
      <w:pPr>
        <w:spacing w:after="0"/>
      </w:pPr>
    </w:p>
    <w:p w14:paraId="0EEEF3DD" w14:textId="353EA3B6" w:rsidR="004E615D" w:rsidRDefault="004E615D" w:rsidP="004E615D">
      <w:pPr>
        <w:pStyle w:val="Observation"/>
      </w:pPr>
      <w:r>
        <w:t xml:space="preserve">Observation </w:t>
      </w:r>
      <w:r>
        <w:t>3</w:t>
      </w:r>
      <w:r>
        <w:t>:</w:t>
      </w:r>
      <w:r>
        <w:tab/>
      </w:r>
      <w:r>
        <w:t xml:space="preserve">3GPP specifications already support 15kHz SCS for the CBRS band and thus the CBRS Alliance decision to support 15kHz SCS does not impact core specifications. </w:t>
      </w:r>
    </w:p>
    <w:p w14:paraId="406EBD72" w14:textId="77777777" w:rsidR="001F64E7" w:rsidRDefault="001F64E7" w:rsidP="00130CEE">
      <w:pPr>
        <w:spacing w:after="0"/>
      </w:pPr>
    </w:p>
    <w:p w14:paraId="13856ED7" w14:textId="77777777" w:rsidR="004E615D" w:rsidRDefault="004E615D" w:rsidP="004E615D">
      <w:pPr>
        <w:pStyle w:val="Proposal"/>
      </w:pPr>
      <w:bookmarkStart w:id="1" w:name="_Toc43733635"/>
      <w:bookmarkStart w:id="2" w:name="_Toc43742213"/>
      <w:r>
        <w:t>Proposal:</w:t>
      </w:r>
      <w:r>
        <w:tab/>
        <w:t>Align the WI description with the latest CBRS agreements to consider both 15 and 30kHz SCS for the DSS feature.</w:t>
      </w:r>
      <w:bookmarkEnd w:id="1"/>
      <w:bookmarkEnd w:id="2"/>
      <w:r w:rsidRPr="00E72324">
        <w:t xml:space="preserve"> </w:t>
      </w:r>
    </w:p>
    <w:p w14:paraId="6DBE75FD" w14:textId="77777777" w:rsidR="001F64E7" w:rsidRDefault="001F64E7" w:rsidP="00130CEE">
      <w:pPr>
        <w:spacing w:after="0"/>
      </w:pPr>
    </w:p>
    <w:p w14:paraId="34C99636" w14:textId="77777777" w:rsidR="008E7986" w:rsidRDefault="008E7986" w:rsidP="008E7986">
      <w:pPr>
        <w:pStyle w:val="Heading1"/>
      </w:pPr>
      <w:r>
        <w:t>3</w:t>
      </w:r>
      <w:r>
        <w:tab/>
        <w:t>Conclusions</w:t>
      </w:r>
    </w:p>
    <w:p w14:paraId="001A58A1" w14:textId="79FCDD66" w:rsidR="00E72324" w:rsidRDefault="000143AB" w:rsidP="00E72324">
      <w:r>
        <w:t xml:space="preserve">In this discussion paper we </w:t>
      </w:r>
      <w:r w:rsidR="00456BB2">
        <w:t xml:space="preserve">have </w:t>
      </w:r>
      <w:r>
        <w:t xml:space="preserve">provided </w:t>
      </w:r>
      <w:r w:rsidR="00456BB2">
        <w:t xml:space="preserve">motivation for revising existing WI for dynamic spectrum sharing </w:t>
      </w:r>
      <w:r w:rsidR="00456BB2" w:rsidRPr="002A571B">
        <w:t>in band 48/n48 frequency range</w:t>
      </w:r>
      <w:r w:rsidR="00456BB2">
        <w:t>. Since the CBRS Alliance has agreed that both 15 and 30kHz SCS are mandatory deployment options, we suggest revising the WI accordingly.</w:t>
      </w:r>
      <w:r w:rsidR="00E72324" w:rsidRPr="00E72324">
        <w:t xml:space="preserve"> </w:t>
      </w:r>
    </w:p>
    <w:p w14:paraId="5168E077" w14:textId="77777777" w:rsidR="00456BB2"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456BB2">
        <w:rPr>
          <w:noProof/>
        </w:rPr>
        <w:t>Proposal:</w:t>
      </w:r>
      <w:r w:rsidR="00456BB2">
        <w:rPr>
          <w:rFonts w:asciiTheme="minorHAnsi" w:eastAsiaTheme="minorEastAsia" w:hAnsiTheme="minorHAnsi" w:cstheme="minorBidi"/>
          <w:b w:val="0"/>
          <w:bCs w:val="0"/>
          <w:noProof/>
          <w:sz w:val="24"/>
          <w:szCs w:val="24"/>
          <w:lang w:val="de-DE" w:eastAsia="ko-KR"/>
        </w:rPr>
        <w:tab/>
      </w:r>
      <w:r w:rsidR="00456BB2">
        <w:rPr>
          <w:noProof/>
        </w:rPr>
        <w:t>Align the WI description with the latest CBRS agreements to consider both 15 and 30kHz SCS for the DSS feature.</w:t>
      </w:r>
    </w:p>
    <w:p w14:paraId="05CC6F0A" w14:textId="7337EF5D" w:rsidR="005E69AE" w:rsidRDefault="0062595A" w:rsidP="0052089C">
      <w:r>
        <w:fldChar w:fldCharType="end"/>
      </w:r>
      <w:r w:rsidR="0052089C">
        <w:t xml:space="preserve">The corresponding WI revision can be found in </w:t>
      </w:r>
      <w:r w:rsidR="0052089C">
        <w:fldChar w:fldCharType="begin"/>
      </w:r>
      <w:r w:rsidR="0052089C">
        <w:instrText xml:space="preserve"> REF _Ref43747631 \r \h </w:instrText>
      </w:r>
      <w:r w:rsidR="0052089C">
        <w:fldChar w:fldCharType="separate"/>
      </w:r>
      <w:r w:rsidR="0052089C">
        <w:t>[2]</w:t>
      </w:r>
      <w:r w:rsidR="0052089C">
        <w:fldChar w:fldCharType="end"/>
      </w:r>
      <w:bookmarkStart w:id="3" w:name="_GoBack"/>
      <w:bookmarkEnd w:id="3"/>
      <w:r w:rsidR="0052089C">
        <w:t>.</w:t>
      </w:r>
    </w:p>
    <w:p w14:paraId="69366DFE" w14:textId="77777777" w:rsidR="00CA1807" w:rsidRDefault="00CA1807" w:rsidP="00CA1807"/>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125567E6" w14:textId="70951861" w:rsidR="001944CA" w:rsidRDefault="002A571B" w:rsidP="00276EE4">
      <w:pPr>
        <w:pStyle w:val="EX"/>
      </w:pPr>
      <w:bookmarkStart w:id="4" w:name="_Ref13820109"/>
      <w:bookmarkStart w:id="5" w:name="_Ref43745814"/>
      <w:r w:rsidRPr="002A571B">
        <w:t>RP-192427, "New WID: LTE/NR spectrum sharing in band 48/n48 frequency range", Apple Inc</w:t>
      </w:r>
      <w:bookmarkEnd w:id="5"/>
    </w:p>
    <w:p w14:paraId="22D52735" w14:textId="05821366" w:rsidR="0052089C" w:rsidRDefault="0052089C" w:rsidP="00276EE4">
      <w:pPr>
        <w:pStyle w:val="EX"/>
      </w:pPr>
      <w:bookmarkStart w:id="6" w:name="_Ref43747631"/>
      <w:r w:rsidRPr="0052089C">
        <w:t>RP-201107</w:t>
      </w:r>
      <w:r>
        <w:t>, "</w:t>
      </w:r>
      <w:r w:rsidRPr="0052089C">
        <w:t>Revised WID: LTE/NR spectrum sharing in band 48/n48 frequency range</w:t>
      </w:r>
      <w:r>
        <w:t>", Apple Inc., Comcast</w:t>
      </w:r>
      <w:bookmarkEnd w:id="6"/>
    </w:p>
    <w:bookmarkEnd w:id="0"/>
    <w:bookmarkEnd w:id="4"/>
    <w:p w14:paraId="2C7BC95E" w14:textId="77777777" w:rsidR="00080512" w:rsidRDefault="00080512"/>
    <w:sectPr w:rsidR="00080512"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FD45D" w14:textId="77777777" w:rsidR="00BC5BA9" w:rsidRDefault="00BC5BA9">
      <w:r>
        <w:separator/>
      </w:r>
    </w:p>
  </w:endnote>
  <w:endnote w:type="continuationSeparator" w:id="0">
    <w:p w14:paraId="222241E7" w14:textId="77777777" w:rsidR="00BC5BA9" w:rsidRDefault="00BC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53DA" w14:textId="77777777" w:rsidR="00BC5BA9" w:rsidRDefault="00BC5BA9">
      <w:r>
        <w:separator/>
      </w:r>
    </w:p>
  </w:footnote>
  <w:footnote w:type="continuationSeparator" w:id="0">
    <w:p w14:paraId="1DB76CD6" w14:textId="77777777" w:rsidR="00BC5BA9" w:rsidRDefault="00BC5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AB"/>
    <w:rsid w:val="00033397"/>
    <w:rsid w:val="00040095"/>
    <w:rsid w:val="00051834"/>
    <w:rsid w:val="00054A22"/>
    <w:rsid w:val="00062023"/>
    <w:rsid w:val="000655A6"/>
    <w:rsid w:val="00080512"/>
    <w:rsid w:val="000A365D"/>
    <w:rsid w:val="000A68F3"/>
    <w:rsid w:val="000C47C3"/>
    <w:rsid w:val="000C722D"/>
    <w:rsid w:val="000D58AB"/>
    <w:rsid w:val="00104BC6"/>
    <w:rsid w:val="00114E2C"/>
    <w:rsid w:val="00130CEE"/>
    <w:rsid w:val="00133525"/>
    <w:rsid w:val="00184832"/>
    <w:rsid w:val="001944CA"/>
    <w:rsid w:val="001A4C42"/>
    <w:rsid w:val="001C21C3"/>
    <w:rsid w:val="001D02C2"/>
    <w:rsid w:val="001F0C1D"/>
    <w:rsid w:val="001F1132"/>
    <w:rsid w:val="001F168B"/>
    <w:rsid w:val="001F64E7"/>
    <w:rsid w:val="002347A2"/>
    <w:rsid w:val="00247926"/>
    <w:rsid w:val="002675F0"/>
    <w:rsid w:val="00276EE4"/>
    <w:rsid w:val="002A571B"/>
    <w:rsid w:val="002B6339"/>
    <w:rsid w:val="002E00EE"/>
    <w:rsid w:val="002F1337"/>
    <w:rsid w:val="003172DC"/>
    <w:rsid w:val="00323B3C"/>
    <w:rsid w:val="0034052F"/>
    <w:rsid w:val="0035462D"/>
    <w:rsid w:val="003765B8"/>
    <w:rsid w:val="003A0483"/>
    <w:rsid w:val="003C3971"/>
    <w:rsid w:val="003E7753"/>
    <w:rsid w:val="00423334"/>
    <w:rsid w:val="004345EC"/>
    <w:rsid w:val="00456BB2"/>
    <w:rsid w:val="004826A9"/>
    <w:rsid w:val="004C1601"/>
    <w:rsid w:val="004D3578"/>
    <w:rsid w:val="004E213A"/>
    <w:rsid w:val="004E615D"/>
    <w:rsid w:val="004F0988"/>
    <w:rsid w:val="004F3340"/>
    <w:rsid w:val="004F3E3D"/>
    <w:rsid w:val="0052089C"/>
    <w:rsid w:val="0053388B"/>
    <w:rsid w:val="00535773"/>
    <w:rsid w:val="00543E6C"/>
    <w:rsid w:val="00565087"/>
    <w:rsid w:val="00572E14"/>
    <w:rsid w:val="005973BE"/>
    <w:rsid w:val="005A5986"/>
    <w:rsid w:val="005D2E01"/>
    <w:rsid w:val="005D7526"/>
    <w:rsid w:val="005E12B4"/>
    <w:rsid w:val="005E69AE"/>
    <w:rsid w:val="00602AEA"/>
    <w:rsid w:val="00607E3C"/>
    <w:rsid w:val="0061254F"/>
    <w:rsid w:val="00614FDF"/>
    <w:rsid w:val="006246A7"/>
    <w:rsid w:val="0062595A"/>
    <w:rsid w:val="0063543D"/>
    <w:rsid w:val="00647114"/>
    <w:rsid w:val="006A323F"/>
    <w:rsid w:val="006B30D0"/>
    <w:rsid w:val="006C3D95"/>
    <w:rsid w:val="006E5C86"/>
    <w:rsid w:val="00713C44"/>
    <w:rsid w:val="00734A5B"/>
    <w:rsid w:val="0074026F"/>
    <w:rsid w:val="007429F6"/>
    <w:rsid w:val="00744E76"/>
    <w:rsid w:val="00752198"/>
    <w:rsid w:val="00753881"/>
    <w:rsid w:val="00774DA4"/>
    <w:rsid w:val="00781F0F"/>
    <w:rsid w:val="007B600E"/>
    <w:rsid w:val="007D7D8C"/>
    <w:rsid w:val="007E22A3"/>
    <w:rsid w:val="007F0F4A"/>
    <w:rsid w:val="008028A4"/>
    <w:rsid w:val="00820B25"/>
    <w:rsid w:val="00830747"/>
    <w:rsid w:val="0083076A"/>
    <w:rsid w:val="008732A4"/>
    <w:rsid w:val="008768CA"/>
    <w:rsid w:val="008C384C"/>
    <w:rsid w:val="008E7986"/>
    <w:rsid w:val="0090271F"/>
    <w:rsid w:val="00902E23"/>
    <w:rsid w:val="009114D7"/>
    <w:rsid w:val="0091348E"/>
    <w:rsid w:val="00917CCB"/>
    <w:rsid w:val="00923FD2"/>
    <w:rsid w:val="009379CF"/>
    <w:rsid w:val="00942EC2"/>
    <w:rsid w:val="009F37B7"/>
    <w:rsid w:val="009F5E43"/>
    <w:rsid w:val="00A10F02"/>
    <w:rsid w:val="00A164B4"/>
    <w:rsid w:val="00A26956"/>
    <w:rsid w:val="00A53724"/>
    <w:rsid w:val="00A73129"/>
    <w:rsid w:val="00A75D98"/>
    <w:rsid w:val="00A808D7"/>
    <w:rsid w:val="00A82346"/>
    <w:rsid w:val="00A92BA1"/>
    <w:rsid w:val="00AC6BC6"/>
    <w:rsid w:val="00AE3797"/>
    <w:rsid w:val="00B15449"/>
    <w:rsid w:val="00B93086"/>
    <w:rsid w:val="00BA19ED"/>
    <w:rsid w:val="00BA300B"/>
    <w:rsid w:val="00BA4B8D"/>
    <w:rsid w:val="00BC0F7D"/>
    <w:rsid w:val="00BC5BA9"/>
    <w:rsid w:val="00BE3255"/>
    <w:rsid w:val="00BF128E"/>
    <w:rsid w:val="00C06639"/>
    <w:rsid w:val="00C1496A"/>
    <w:rsid w:val="00C33079"/>
    <w:rsid w:val="00C43103"/>
    <w:rsid w:val="00C45231"/>
    <w:rsid w:val="00C72833"/>
    <w:rsid w:val="00C80F1D"/>
    <w:rsid w:val="00C862C4"/>
    <w:rsid w:val="00C93F40"/>
    <w:rsid w:val="00CA1807"/>
    <w:rsid w:val="00CA3D0C"/>
    <w:rsid w:val="00CE5A62"/>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95F"/>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1B730-5629-B741-BF9A-DFC60BE6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2</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2020-06-22T15:54:00Z</dcterms:created>
  <dcterms:modified xsi:type="dcterms:W3CDTF">2020-06-22T17:47:00Z</dcterms:modified>
  <cp:category/>
</cp:coreProperties>
</file>